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66C7" w14:textId="1CA82FE6" w:rsidR="00020B4D" w:rsidRDefault="000E2D0E">
      <w:pPr>
        <w:pStyle w:val="Intestazione1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161F3347" wp14:editId="2D9D488F">
            <wp:simplePos x="0" y="0"/>
            <wp:positionH relativeFrom="margin">
              <wp:align>center</wp:align>
            </wp:positionH>
            <wp:positionV relativeFrom="paragraph">
              <wp:posOffset>439</wp:posOffset>
            </wp:positionV>
            <wp:extent cx="2078355" cy="1152525"/>
            <wp:effectExtent l="0" t="0" r="0" b="9525"/>
            <wp:wrapSquare wrapText="bothSides"/>
            <wp:docPr id="3" name="Immagine 3" descr="https://www.tsrm.org/wp-content/uploads/2018/02/Logo-FNO-TSRM-PST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srm.org/wp-content/uploads/2018/02/Logo-FNO-TSRM-PSTR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FB">
        <w:rPr>
          <w:b/>
          <w:sz w:val="28"/>
          <w:szCs w:val="28"/>
        </w:rPr>
        <w:tab/>
      </w:r>
    </w:p>
    <w:p w14:paraId="4E278EEF" w14:textId="77777777" w:rsidR="00020B4D" w:rsidRDefault="00020B4D">
      <w:pPr>
        <w:pStyle w:val="Intestazione1"/>
        <w:ind w:left="5645" w:hanging="3660"/>
        <w:rPr>
          <w:b/>
          <w:sz w:val="28"/>
          <w:szCs w:val="28"/>
        </w:rPr>
      </w:pPr>
    </w:p>
    <w:p w14:paraId="5EA35694" w14:textId="23AAA24D" w:rsidR="00020B4D" w:rsidRDefault="00020B4D">
      <w:pPr>
        <w:pStyle w:val="Intestazione1"/>
        <w:ind w:left="5645" w:hanging="3660"/>
        <w:jc w:val="right"/>
        <w:rPr>
          <w:sz w:val="28"/>
          <w:szCs w:val="28"/>
        </w:rPr>
      </w:pPr>
    </w:p>
    <w:p w14:paraId="3B3D5591" w14:textId="365F058D" w:rsidR="00020B4D" w:rsidRDefault="00020B4D">
      <w:pPr>
        <w:pStyle w:val="Intestazione1"/>
        <w:ind w:left="5645" w:hanging="3660"/>
        <w:jc w:val="center"/>
        <w:rPr>
          <w:b/>
          <w:sz w:val="28"/>
          <w:szCs w:val="28"/>
          <w:highlight w:val="yellow"/>
        </w:rPr>
      </w:pPr>
      <w:bookmarkStart w:id="0" w:name="__DdeLink__158_1268916437"/>
      <w:bookmarkEnd w:id="0"/>
    </w:p>
    <w:p w14:paraId="3B08616F" w14:textId="77777777" w:rsidR="00020B4D" w:rsidRDefault="00020B4D">
      <w:pPr>
        <w:ind w:left="3288"/>
        <w:jc w:val="right"/>
        <w:rPr>
          <w:color w:val="auto"/>
        </w:rPr>
      </w:pPr>
    </w:p>
    <w:p w14:paraId="27E13B98" w14:textId="77777777" w:rsidR="008345F2" w:rsidRDefault="008345F2">
      <w:pPr>
        <w:ind w:left="4082"/>
        <w:rPr>
          <w:color w:val="auto"/>
          <w:sz w:val="24"/>
          <w:szCs w:val="24"/>
        </w:rPr>
      </w:pPr>
    </w:p>
    <w:p w14:paraId="5CDCFD2D" w14:textId="77777777" w:rsidR="008345F2" w:rsidRDefault="008345F2">
      <w:pPr>
        <w:ind w:left="4082"/>
        <w:rPr>
          <w:color w:val="auto"/>
          <w:sz w:val="24"/>
          <w:szCs w:val="24"/>
        </w:rPr>
      </w:pPr>
    </w:p>
    <w:p w14:paraId="33469C55" w14:textId="05F554E5" w:rsidR="00020B4D" w:rsidRDefault="000E2D0E" w:rsidP="00B7571A">
      <w:pPr>
        <w:ind w:left="4082"/>
        <w:rPr>
          <w:i/>
          <w:iCs/>
          <w:color w:val="auto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EE3C041" wp14:editId="3AE83A99">
            <wp:simplePos x="0" y="0"/>
            <wp:positionH relativeFrom="column">
              <wp:posOffset>-2540</wp:posOffset>
            </wp:positionH>
            <wp:positionV relativeFrom="paragraph">
              <wp:posOffset>54610</wp:posOffset>
            </wp:positionV>
            <wp:extent cx="2254250" cy="1638300"/>
            <wp:effectExtent l="0" t="0" r="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B15D" w14:textId="77777777" w:rsidR="000E2D0E" w:rsidRPr="008E4AF9" w:rsidRDefault="000E2D0E" w:rsidP="000E2D0E">
      <w:pPr>
        <w:ind w:left="3288"/>
        <w:jc w:val="right"/>
        <w:rPr>
          <w:sz w:val="24"/>
          <w:szCs w:val="24"/>
        </w:rPr>
      </w:pPr>
      <w:r w:rsidRPr="008E4AF9">
        <w:rPr>
          <w:color w:val="auto"/>
          <w:sz w:val="24"/>
          <w:szCs w:val="24"/>
        </w:rPr>
        <w:t>Al Presidente della Regione</w:t>
      </w:r>
    </w:p>
    <w:p w14:paraId="6C8A0670" w14:textId="77777777" w:rsidR="000E2D0E" w:rsidRPr="008E4AF9" w:rsidRDefault="000E2D0E" w:rsidP="000E2D0E">
      <w:pPr>
        <w:ind w:left="3288"/>
        <w:jc w:val="right"/>
        <w:rPr>
          <w:color w:val="auto"/>
          <w:sz w:val="24"/>
          <w:szCs w:val="24"/>
        </w:rPr>
      </w:pPr>
    </w:p>
    <w:p w14:paraId="0625E5BC" w14:textId="77777777" w:rsidR="000E2D0E" w:rsidRPr="008E4AF9" w:rsidRDefault="000E2D0E" w:rsidP="000E2D0E">
      <w:pPr>
        <w:ind w:left="3288"/>
        <w:jc w:val="right"/>
        <w:rPr>
          <w:color w:val="000000"/>
          <w:sz w:val="24"/>
          <w:szCs w:val="24"/>
        </w:rPr>
      </w:pPr>
      <w:r w:rsidRPr="008E4AF9">
        <w:rPr>
          <w:color w:val="auto"/>
          <w:sz w:val="24"/>
          <w:szCs w:val="24"/>
        </w:rPr>
        <w:t xml:space="preserve">Agli Assessori regionali </w:t>
      </w:r>
    </w:p>
    <w:p w14:paraId="76EB1843" w14:textId="77777777" w:rsidR="000E2D0E" w:rsidRPr="008E4AF9" w:rsidRDefault="000E2D0E" w:rsidP="000E2D0E">
      <w:pPr>
        <w:ind w:left="3288"/>
        <w:jc w:val="right"/>
        <w:rPr>
          <w:color w:val="auto"/>
          <w:sz w:val="24"/>
          <w:szCs w:val="24"/>
        </w:rPr>
      </w:pPr>
    </w:p>
    <w:p w14:paraId="340EC0AC" w14:textId="297895A1" w:rsidR="000E2D0E" w:rsidRPr="008E4AF9" w:rsidRDefault="000E2D0E" w:rsidP="000E2D0E">
      <w:pPr>
        <w:ind w:left="3288"/>
        <w:jc w:val="right"/>
        <w:rPr>
          <w:color w:val="000000"/>
          <w:sz w:val="24"/>
          <w:szCs w:val="24"/>
        </w:rPr>
      </w:pPr>
      <w:r w:rsidRPr="008E4AF9">
        <w:rPr>
          <w:color w:val="auto"/>
          <w:sz w:val="24"/>
          <w:szCs w:val="24"/>
        </w:rPr>
        <w:t xml:space="preserve">Ai Direttori </w:t>
      </w:r>
      <w:r w:rsidR="008E4AF9">
        <w:rPr>
          <w:color w:val="auto"/>
          <w:sz w:val="24"/>
          <w:szCs w:val="24"/>
        </w:rPr>
        <w:t>G</w:t>
      </w:r>
      <w:r w:rsidRPr="008E4AF9">
        <w:rPr>
          <w:color w:val="auto"/>
          <w:sz w:val="24"/>
          <w:szCs w:val="24"/>
        </w:rPr>
        <w:t xml:space="preserve">enerali Aziende sanitarie </w:t>
      </w:r>
    </w:p>
    <w:p w14:paraId="3502438D" w14:textId="77777777" w:rsidR="000E2D0E" w:rsidRPr="008E4AF9" w:rsidRDefault="000E2D0E" w:rsidP="000E2D0E">
      <w:pPr>
        <w:ind w:left="3288"/>
        <w:jc w:val="right"/>
        <w:rPr>
          <w:color w:val="auto"/>
          <w:sz w:val="24"/>
          <w:szCs w:val="24"/>
        </w:rPr>
      </w:pPr>
    </w:p>
    <w:p w14:paraId="32E6537D" w14:textId="77777777" w:rsidR="000E2D0E" w:rsidRPr="008E4AF9" w:rsidRDefault="000E2D0E" w:rsidP="000E2D0E">
      <w:pPr>
        <w:ind w:left="3288"/>
        <w:jc w:val="right"/>
        <w:rPr>
          <w:sz w:val="24"/>
          <w:szCs w:val="24"/>
        </w:rPr>
      </w:pPr>
      <w:r w:rsidRPr="008E4AF9">
        <w:rPr>
          <w:color w:val="auto"/>
          <w:sz w:val="24"/>
          <w:szCs w:val="24"/>
        </w:rPr>
        <w:t>Ai Gruppi Consiglio regionale</w:t>
      </w:r>
    </w:p>
    <w:p w14:paraId="36E83A67" w14:textId="77777777" w:rsidR="00020B4D" w:rsidRPr="008E4AF9" w:rsidRDefault="00020B4D">
      <w:pPr>
        <w:rPr>
          <w:i/>
          <w:iCs/>
          <w:color w:val="auto"/>
          <w:sz w:val="24"/>
          <w:szCs w:val="24"/>
        </w:rPr>
      </w:pPr>
    </w:p>
    <w:p w14:paraId="06154CE0" w14:textId="77777777" w:rsidR="00020B4D" w:rsidRDefault="00020B4D">
      <w:pPr>
        <w:rPr>
          <w:i/>
          <w:iCs/>
          <w:color w:val="auto"/>
          <w:sz w:val="24"/>
          <w:szCs w:val="24"/>
        </w:rPr>
      </w:pPr>
    </w:p>
    <w:p w14:paraId="7A32DD7A" w14:textId="5BBD9B54" w:rsidR="00020B4D" w:rsidRDefault="00D530FB">
      <w:pPr>
        <w:rPr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t>oggetto</w:t>
      </w:r>
      <w:r>
        <w:rPr>
          <w:color w:val="auto"/>
          <w:sz w:val="24"/>
          <w:szCs w:val="24"/>
        </w:rPr>
        <w:t xml:space="preserve">: </w:t>
      </w:r>
      <w:r>
        <w:rPr>
          <w:b/>
          <w:bCs/>
          <w:color w:val="auto"/>
          <w:sz w:val="24"/>
          <w:szCs w:val="24"/>
        </w:rPr>
        <w:t>Gi</w:t>
      </w:r>
      <w:r w:rsidR="00F2544A">
        <w:rPr>
          <w:b/>
          <w:bCs/>
          <w:color w:val="auto"/>
          <w:sz w:val="24"/>
          <w:szCs w:val="24"/>
        </w:rPr>
        <w:t>ornata mondiale di Ortottica -</w:t>
      </w:r>
      <w:r>
        <w:rPr>
          <w:b/>
          <w:bCs/>
          <w:color w:val="auto"/>
          <w:sz w:val="24"/>
          <w:szCs w:val="24"/>
        </w:rPr>
        <w:t xml:space="preserve"> </w:t>
      </w:r>
      <w:r w:rsidR="00F2544A">
        <w:rPr>
          <w:b/>
          <w:bCs/>
          <w:color w:val="auto"/>
          <w:sz w:val="24"/>
          <w:szCs w:val="24"/>
        </w:rPr>
        <w:t>06 giugno 2022</w:t>
      </w:r>
    </w:p>
    <w:p w14:paraId="0C6782B1" w14:textId="77777777" w:rsidR="00020B4D" w:rsidRDefault="00020B4D">
      <w:pPr>
        <w:rPr>
          <w:b/>
          <w:bCs/>
          <w:sz w:val="24"/>
          <w:szCs w:val="24"/>
        </w:rPr>
      </w:pPr>
    </w:p>
    <w:p w14:paraId="7A0D6D08" w14:textId="77777777" w:rsidR="00020B4D" w:rsidRDefault="00020B4D">
      <w:pPr>
        <w:rPr>
          <w:color w:val="auto"/>
          <w:sz w:val="24"/>
          <w:szCs w:val="24"/>
        </w:rPr>
      </w:pPr>
    </w:p>
    <w:p w14:paraId="701CB69A" w14:textId="77777777" w:rsidR="00020B4D" w:rsidRDefault="00D530F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Il primo lunedì di giugno, dal 2013, si </w:t>
      </w:r>
      <w:r w:rsidRPr="00F2544A">
        <w:rPr>
          <w:color w:val="auto"/>
          <w:sz w:val="24"/>
          <w:szCs w:val="24"/>
        </w:rPr>
        <w:t>celebra</w:t>
      </w:r>
      <w:r>
        <w:rPr>
          <w:color w:val="auto"/>
          <w:sz w:val="24"/>
          <w:szCs w:val="24"/>
        </w:rPr>
        <w:t xml:space="preserve"> la </w:t>
      </w:r>
      <w:r>
        <w:rPr>
          <w:b/>
          <w:bCs/>
          <w:color w:val="auto"/>
          <w:sz w:val="24"/>
          <w:szCs w:val="24"/>
        </w:rPr>
        <w:t>giornata mondiale dell’ortottica</w:t>
      </w:r>
      <w:r>
        <w:rPr>
          <w:color w:val="auto"/>
          <w:sz w:val="24"/>
          <w:szCs w:val="24"/>
        </w:rPr>
        <w:t xml:space="preserve"> per promuovere le attività degli Ortottisti nel mondo.</w:t>
      </w:r>
    </w:p>
    <w:p w14:paraId="189624F7" w14:textId="7DC1EA76" w:rsidR="00020B4D" w:rsidRDefault="00D530FB">
      <w:pPr>
        <w:jc w:val="both"/>
      </w:pPr>
      <w:r>
        <w:rPr>
          <w:color w:val="auto"/>
          <w:sz w:val="24"/>
          <w:szCs w:val="24"/>
        </w:rPr>
        <w:t>L</w:t>
      </w:r>
      <w:r>
        <w:rPr>
          <w:b/>
          <w:bCs/>
          <w:color w:val="auto"/>
          <w:sz w:val="24"/>
          <w:szCs w:val="24"/>
          <w:u w:val="single"/>
        </w:rPr>
        <w:t xml:space="preserve">’Ortottista </w:t>
      </w:r>
      <w:r w:rsidR="006F027D">
        <w:rPr>
          <w:b/>
          <w:bCs/>
          <w:color w:val="auto"/>
          <w:sz w:val="24"/>
          <w:szCs w:val="24"/>
          <w:u w:val="single"/>
        </w:rPr>
        <w:t>assistente di o</w:t>
      </w:r>
      <w:r>
        <w:rPr>
          <w:b/>
          <w:bCs/>
          <w:color w:val="auto"/>
          <w:sz w:val="24"/>
          <w:szCs w:val="24"/>
          <w:u w:val="single"/>
        </w:rPr>
        <w:t>ftalmologia</w:t>
      </w:r>
      <w:r>
        <w:rPr>
          <w:color w:val="auto"/>
          <w:sz w:val="24"/>
          <w:szCs w:val="24"/>
        </w:rPr>
        <w:t xml:space="preserve"> è il Professionista Sanitario che opera nell’ambito della visione dall’età pediatrica fino all’età senile e secondo il decreto ministeriale </w:t>
      </w:r>
      <w:r>
        <w:rPr>
          <w:rStyle w:val="Enfasigrassetto"/>
          <w:b w:val="0"/>
          <w:color w:val="auto"/>
          <w:sz w:val="24"/>
          <w:szCs w:val="24"/>
          <w:shd w:val="clear" w:color="auto" w:fill="FFFFFF"/>
        </w:rPr>
        <w:t>14 settembre 1994, n. 743</w:t>
      </w:r>
      <w:r>
        <w:rPr>
          <w:rStyle w:val="Richiamoallanotaapidipagina"/>
          <w:color w:val="auto"/>
          <w:sz w:val="24"/>
          <w:szCs w:val="24"/>
          <w:shd w:val="clear" w:color="auto" w:fill="FFFFFF"/>
        </w:rPr>
        <w:footnoteReference w:id="1"/>
      </w:r>
      <w:r>
        <w:rPr>
          <w:rStyle w:val="Richiamoallanotaapidipagina"/>
          <w:color w:val="auto"/>
          <w:sz w:val="24"/>
          <w:szCs w:val="24"/>
        </w:rPr>
        <w:t xml:space="preserve">  </w:t>
      </w:r>
      <w:r>
        <w:rPr>
          <w:rStyle w:val="Enfasigrassetto"/>
          <w:b w:val="0"/>
          <w:color w:val="auto"/>
          <w:sz w:val="24"/>
          <w:szCs w:val="24"/>
        </w:rPr>
        <w:t>“</w:t>
      </w:r>
      <w:r>
        <w:rPr>
          <w:rStyle w:val="Enfasigrassetto"/>
          <w:color w:val="auto"/>
          <w:sz w:val="24"/>
          <w:szCs w:val="24"/>
        </w:rPr>
        <w:t>tratta</w:t>
      </w:r>
      <w:r>
        <w:rPr>
          <w:rStyle w:val="Enfasigrassetto"/>
          <w:b w:val="0"/>
          <w:color w:val="auto"/>
          <w:sz w:val="24"/>
          <w:szCs w:val="24"/>
        </w:rPr>
        <w:t xml:space="preserve"> </w:t>
      </w:r>
      <w:r>
        <w:rPr>
          <w:rStyle w:val="Enfasigrassetto"/>
          <w:b w:val="0"/>
          <w:color w:val="auto"/>
          <w:sz w:val="24"/>
          <w:szCs w:val="24"/>
          <w:shd w:val="clear" w:color="auto" w:fill="FFFFFF"/>
        </w:rPr>
        <w:t>i disturbi motori e sensoriali della visione ed effettua le tecniche di semeiologia strumentale-oftalmologica</w:t>
      </w:r>
      <w:r w:rsidR="00F2544A">
        <w:rPr>
          <w:rStyle w:val="Enfasigrassetto"/>
          <w:b w:val="0"/>
          <w:color w:val="auto"/>
          <w:sz w:val="24"/>
          <w:szCs w:val="24"/>
          <w:shd w:val="clear" w:color="auto" w:fill="FFFFFF"/>
        </w:rPr>
        <w:t>”.</w:t>
      </w:r>
      <w:r>
        <w:rPr>
          <w:color w:val="auto"/>
          <w:sz w:val="24"/>
          <w:szCs w:val="24"/>
        </w:rPr>
        <w:t xml:space="preserve"> </w:t>
      </w:r>
    </w:p>
    <w:p w14:paraId="5314C450" w14:textId="77777777" w:rsidR="00020B4D" w:rsidRDefault="00020B4D">
      <w:pPr>
        <w:jc w:val="both"/>
        <w:rPr>
          <w:color w:val="00B6BD"/>
          <w:sz w:val="24"/>
          <w:szCs w:val="24"/>
        </w:rPr>
      </w:pPr>
    </w:p>
    <w:p w14:paraId="5EBC0DD2" w14:textId="56D5DF96" w:rsidR="00020B4D" w:rsidRDefault="00D530FB">
      <w:pPr>
        <w:jc w:val="both"/>
      </w:pPr>
      <w:r>
        <w:rPr>
          <w:color w:val="auto"/>
          <w:sz w:val="24"/>
          <w:szCs w:val="24"/>
        </w:rPr>
        <w:t>La professione è nata in Italia nel 1955 da un percorso universitario di laurea Triennale in “Ortottica e</w:t>
      </w:r>
      <w:r w:rsidR="00E719E9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 xml:space="preserve"> </w:t>
      </w:r>
      <w:r w:rsidR="00E719E9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ssistenza </w:t>
      </w:r>
      <w:r w:rsidR="00E719E9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>ftalmologi</w:t>
      </w:r>
      <w:r w:rsidR="00E719E9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a” e appartiene all’area della riabilitazione</w:t>
      </w:r>
      <w:r w:rsidR="00F2544A">
        <w:rPr>
          <w:color w:val="auto"/>
          <w:sz w:val="24"/>
          <w:szCs w:val="24"/>
        </w:rPr>
        <w:t xml:space="preserve"> dal DPR 761/79, confermato nel</w:t>
      </w:r>
      <w:r>
        <w:rPr>
          <w:color w:val="auto"/>
          <w:sz w:val="24"/>
          <w:szCs w:val="24"/>
        </w:rPr>
        <w:t xml:space="preserve"> Decreto 29 marzo 2001</w:t>
      </w:r>
      <w:r>
        <w:rPr>
          <w:rStyle w:val="Richiamoallanotaapidipagina"/>
          <w:color w:val="auto"/>
          <w:sz w:val="24"/>
          <w:szCs w:val="24"/>
        </w:rPr>
        <w:footnoteReference w:id="2"/>
      </w:r>
      <w:r w:rsidR="00F2544A">
        <w:rPr>
          <w:rStyle w:val="Richiamoallanotaapidipagina"/>
          <w:color w:val="auto"/>
          <w:sz w:val="24"/>
          <w:szCs w:val="24"/>
        </w:rPr>
        <w:t>.</w:t>
      </w:r>
      <w:r w:rsidR="00F2544A">
        <w:rPr>
          <w:color w:val="auto"/>
          <w:sz w:val="24"/>
          <w:szCs w:val="24"/>
        </w:rPr>
        <w:t>.</w:t>
      </w:r>
    </w:p>
    <w:p w14:paraId="6F6B2C8B" w14:textId="77777777" w:rsidR="00020B4D" w:rsidRDefault="00020B4D">
      <w:pPr>
        <w:jc w:val="both"/>
        <w:rPr>
          <w:color w:val="auto"/>
          <w:sz w:val="24"/>
          <w:szCs w:val="24"/>
          <w:highlight w:val="yellow"/>
        </w:rPr>
      </w:pPr>
    </w:p>
    <w:p w14:paraId="7D98C8FA" w14:textId="6EBB038D" w:rsidR="00020B4D" w:rsidRDefault="00D530F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 l’entrata in vigore della Legge Lorenzin</w:t>
      </w:r>
      <w:r>
        <w:rPr>
          <w:rStyle w:val="Richiamoallanotaapidipagina"/>
          <w:color w:val="auto"/>
          <w:sz w:val="24"/>
          <w:szCs w:val="24"/>
        </w:rPr>
        <w:footnoteReference w:id="3"/>
      </w:r>
      <w:r>
        <w:rPr>
          <w:color w:val="auto"/>
          <w:sz w:val="24"/>
          <w:szCs w:val="24"/>
        </w:rPr>
        <w:t xml:space="preserve">, </w:t>
      </w:r>
      <w:r w:rsidRPr="00F2544A">
        <w:rPr>
          <w:color w:val="auto"/>
          <w:sz w:val="24"/>
          <w:szCs w:val="24"/>
        </w:rPr>
        <w:t>viene approvata</w:t>
      </w:r>
      <w:r>
        <w:rPr>
          <w:color w:val="auto"/>
          <w:sz w:val="24"/>
          <w:szCs w:val="24"/>
        </w:rPr>
        <w:t xml:space="preserve"> la riforma degli Ordini professionali sanitari, è stato costituito un unico grande ordine professionale: la Federazione Nazionale dei TSRM e delle PSTRP (tecnici sanitari di radiologia medica e delle professioni Sanitarie Tecniche della Riabilitazione e della Prevenzione), che </w:t>
      </w:r>
      <w:r w:rsidRPr="00F2544A">
        <w:rPr>
          <w:color w:val="auto"/>
          <w:sz w:val="24"/>
          <w:szCs w:val="24"/>
        </w:rPr>
        <w:t>include</w:t>
      </w:r>
      <w:r>
        <w:rPr>
          <w:color w:val="auto"/>
          <w:sz w:val="24"/>
          <w:szCs w:val="24"/>
        </w:rPr>
        <w:t xml:space="preserve"> 220mila professionisti sanitari afferenti a 19 diversi albi. </w:t>
      </w:r>
    </w:p>
    <w:p w14:paraId="69632204" w14:textId="5045B3D9" w:rsidR="00020B4D" w:rsidRPr="008E4AF9" w:rsidRDefault="00D530FB">
      <w:pPr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In Italia gli Ortottisti Assistenti </w:t>
      </w:r>
      <w:r w:rsidR="00E719E9">
        <w:rPr>
          <w:color w:val="auto"/>
          <w:sz w:val="24"/>
          <w:szCs w:val="24"/>
        </w:rPr>
        <w:t>di</w:t>
      </w:r>
      <w:r>
        <w:rPr>
          <w:color w:val="auto"/>
          <w:sz w:val="24"/>
          <w:szCs w:val="24"/>
        </w:rPr>
        <w:t xml:space="preserve"> </w:t>
      </w:r>
      <w:r w:rsidRPr="008E4AF9">
        <w:rPr>
          <w:color w:val="auto"/>
          <w:sz w:val="24"/>
          <w:szCs w:val="24"/>
        </w:rPr>
        <w:t xml:space="preserve">Oftalmologia </w:t>
      </w:r>
      <w:r w:rsidR="008345F2">
        <w:rPr>
          <w:color w:val="auto"/>
          <w:sz w:val="24"/>
          <w:szCs w:val="24"/>
        </w:rPr>
        <w:t xml:space="preserve">sono </w:t>
      </w:r>
      <w:r w:rsidR="006F027D" w:rsidRPr="008E4AF9">
        <w:rPr>
          <w:color w:val="auto"/>
          <w:sz w:val="24"/>
          <w:szCs w:val="24"/>
        </w:rPr>
        <w:t xml:space="preserve">oltre </w:t>
      </w:r>
      <w:r w:rsidRPr="008E4AF9">
        <w:rPr>
          <w:color w:val="auto"/>
          <w:sz w:val="24"/>
          <w:szCs w:val="24"/>
        </w:rPr>
        <w:t xml:space="preserve">3000. </w:t>
      </w:r>
    </w:p>
    <w:p w14:paraId="1B1CF5C2" w14:textId="77777777" w:rsidR="00020B4D" w:rsidRDefault="00D530FB">
      <w:pPr>
        <w:jc w:val="both"/>
        <w:rPr>
          <w:sz w:val="26"/>
          <w:szCs w:val="26"/>
        </w:rPr>
      </w:pPr>
      <w:r>
        <w:rPr>
          <w:color w:val="auto"/>
          <w:sz w:val="24"/>
          <w:szCs w:val="24"/>
        </w:rPr>
        <w:t xml:space="preserve">Si tratta di una professione poco numerosa quindi spesso poco conosciuta, questo comporta che per esami, valutazioni e riabilitazione visiva numerose persone, bambini e adulti, non vi accedano o vi arrivino in ritardo. </w:t>
      </w:r>
    </w:p>
    <w:p w14:paraId="410CC215" w14:textId="77777777" w:rsidR="00020B4D" w:rsidRDefault="00020B4D">
      <w:pPr>
        <w:jc w:val="both"/>
        <w:rPr>
          <w:color w:val="auto"/>
          <w:sz w:val="24"/>
          <w:szCs w:val="24"/>
        </w:rPr>
      </w:pPr>
    </w:p>
    <w:p w14:paraId="217E78B9" w14:textId="77777777" w:rsidR="00020B4D" w:rsidRDefault="00D530F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professionisti della visione in Italia sono molteplici: oculisti, ortottisti </w:t>
      </w:r>
      <w:r w:rsidRPr="00F2544A">
        <w:rPr>
          <w:color w:val="auto"/>
          <w:sz w:val="24"/>
          <w:szCs w:val="24"/>
        </w:rPr>
        <w:t>ed</w:t>
      </w:r>
      <w:r>
        <w:rPr>
          <w:color w:val="auto"/>
          <w:sz w:val="24"/>
          <w:szCs w:val="24"/>
        </w:rPr>
        <w:t xml:space="preserve"> ottici</w:t>
      </w:r>
      <w:r w:rsidRPr="00F2544A">
        <w:rPr>
          <w:color w:val="auto"/>
          <w:sz w:val="24"/>
          <w:szCs w:val="24"/>
        </w:rPr>
        <w:t>.</w:t>
      </w:r>
    </w:p>
    <w:p w14:paraId="2EC7C1C1" w14:textId="77777777" w:rsidR="00B7571A" w:rsidRDefault="00D530FB" w:rsidP="00B7571A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 tratta di professionisti con competenze e profili diversi ma complementari tra loro, che non sempre l’utenza riesce a definire e distinguere in maniera corretta. </w:t>
      </w:r>
    </w:p>
    <w:p w14:paraId="7437EC08" w14:textId="43199F41" w:rsidR="00020B4D" w:rsidRPr="008E4AF9" w:rsidRDefault="00F2544A" w:rsidP="00B7571A">
      <w:pPr>
        <w:jc w:val="both"/>
        <w:rPr>
          <w:color w:val="auto"/>
          <w:sz w:val="24"/>
          <w:szCs w:val="24"/>
        </w:rPr>
      </w:pPr>
      <w:r w:rsidRPr="008E4AF9">
        <w:rPr>
          <w:color w:val="auto"/>
          <w:sz w:val="24"/>
          <w:szCs w:val="24"/>
        </w:rPr>
        <w:lastRenderedPageBreak/>
        <w:t>È</w:t>
      </w:r>
      <w:r w:rsidR="00D530FB" w:rsidRPr="008E4AF9">
        <w:rPr>
          <w:color w:val="auto"/>
          <w:sz w:val="24"/>
          <w:szCs w:val="24"/>
        </w:rPr>
        <w:t xml:space="preserve"> quindi opportuno informare il cittadino che </w:t>
      </w:r>
      <w:r w:rsidR="00D530FB" w:rsidRPr="00E719E9">
        <w:rPr>
          <w:color w:val="auto"/>
          <w:sz w:val="24"/>
          <w:szCs w:val="24"/>
        </w:rPr>
        <w:t>l’</w:t>
      </w:r>
      <w:r w:rsidR="00D530FB" w:rsidRPr="00E719E9">
        <w:rPr>
          <w:b/>
          <w:bCs/>
          <w:color w:val="auto"/>
          <w:sz w:val="24"/>
          <w:szCs w:val="24"/>
        </w:rPr>
        <w:t>Ortottista</w:t>
      </w:r>
      <w:r w:rsidR="000E2D0E" w:rsidRPr="00E719E9">
        <w:rPr>
          <w:b/>
          <w:bCs/>
          <w:color w:val="auto"/>
          <w:sz w:val="24"/>
          <w:szCs w:val="24"/>
        </w:rPr>
        <w:t xml:space="preserve"> </w:t>
      </w:r>
      <w:r w:rsidR="00D530FB" w:rsidRPr="00E719E9">
        <w:rPr>
          <w:b/>
          <w:bCs/>
          <w:color w:val="auto"/>
          <w:sz w:val="24"/>
          <w:szCs w:val="24"/>
        </w:rPr>
        <w:t xml:space="preserve">assistente di </w:t>
      </w:r>
      <w:r w:rsidR="00E719E9" w:rsidRPr="00E719E9">
        <w:rPr>
          <w:b/>
          <w:bCs/>
          <w:color w:val="auto"/>
          <w:sz w:val="24"/>
          <w:szCs w:val="24"/>
        </w:rPr>
        <w:t>o</w:t>
      </w:r>
      <w:r w:rsidR="00D530FB" w:rsidRPr="00E719E9">
        <w:rPr>
          <w:b/>
          <w:bCs/>
          <w:color w:val="auto"/>
          <w:sz w:val="24"/>
          <w:szCs w:val="24"/>
        </w:rPr>
        <w:t>ftalmologia</w:t>
      </w:r>
      <w:r w:rsidR="00D530FB" w:rsidRPr="008E4AF9">
        <w:rPr>
          <w:color w:val="auto"/>
          <w:sz w:val="24"/>
          <w:szCs w:val="24"/>
        </w:rPr>
        <w:t xml:space="preserve"> è il professionista sanitario che opera in autonomia e in stretta collaborazione con le figure mediche e con </w:t>
      </w:r>
      <w:r w:rsidR="006F027D" w:rsidRPr="008E4AF9">
        <w:rPr>
          <w:color w:val="auto"/>
          <w:sz w:val="24"/>
          <w:szCs w:val="24"/>
        </w:rPr>
        <w:t xml:space="preserve">altri professionisti sanitari </w:t>
      </w:r>
      <w:r w:rsidR="00D530FB" w:rsidRPr="008E4AF9">
        <w:rPr>
          <w:color w:val="auto"/>
          <w:sz w:val="24"/>
          <w:szCs w:val="24"/>
        </w:rPr>
        <w:t xml:space="preserve">nella </w:t>
      </w:r>
      <w:r w:rsidR="00D530FB" w:rsidRPr="008E4AF9">
        <w:rPr>
          <w:color w:val="auto"/>
          <w:sz w:val="24"/>
          <w:szCs w:val="24"/>
          <w:u w:val="single"/>
        </w:rPr>
        <w:t>prevenzione, valutazione e riabilitazione dei disturbi motori e sensoriali della visione</w:t>
      </w:r>
      <w:r w:rsidR="00D530FB" w:rsidRPr="008E4AF9">
        <w:rPr>
          <w:color w:val="auto"/>
          <w:sz w:val="24"/>
          <w:szCs w:val="24"/>
        </w:rPr>
        <w:t xml:space="preserve"> (ambliopia o occhio pigro, strabismo, diplopia, test di Hess Lancaster, applicazione prismatica etc..). </w:t>
      </w:r>
    </w:p>
    <w:p w14:paraId="2066E36C" w14:textId="7A612459" w:rsidR="00020B4D" w:rsidRPr="008E4AF9" w:rsidRDefault="006F027D">
      <w:pPr>
        <w:jc w:val="both"/>
        <w:rPr>
          <w:color w:val="auto"/>
        </w:rPr>
      </w:pPr>
      <w:r w:rsidRPr="008E4AF9">
        <w:rPr>
          <w:color w:val="auto"/>
          <w:sz w:val="24"/>
          <w:szCs w:val="24"/>
        </w:rPr>
        <w:t>L’</w:t>
      </w:r>
      <w:r w:rsidR="00972581" w:rsidRPr="008E4AF9">
        <w:rPr>
          <w:color w:val="auto"/>
          <w:sz w:val="24"/>
          <w:szCs w:val="24"/>
        </w:rPr>
        <w:t>O</w:t>
      </w:r>
      <w:r w:rsidRPr="008E4AF9">
        <w:rPr>
          <w:color w:val="auto"/>
          <w:sz w:val="24"/>
          <w:szCs w:val="24"/>
        </w:rPr>
        <w:t xml:space="preserve">rtottista </w:t>
      </w:r>
      <w:r w:rsidR="00D530FB" w:rsidRPr="008E4AF9">
        <w:rPr>
          <w:color w:val="auto"/>
          <w:sz w:val="24"/>
          <w:szCs w:val="24"/>
        </w:rPr>
        <w:t xml:space="preserve">effettua le </w:t>
      </w:r>
      <w:r w:rsidR="00D530FB" w:rsidRPr="008E4AF9">
        <w:rPr>
          <w:color w:val="auto"/>
          <w:sz w:val="24"/>
          <w:szCs w:val="24"/>
          <w:u w:val="single"/>
        </w:rPr>
        <w:t>tecniche di semeiologia strumentale-oftalmologica</w:t>
      </w:r>
      <w:r w:rsidR="00D530FB" w:rsidRPr="008E4AF9">
        <w:rPr>
          <w:color w:val="auto"/>
          <w:sz w:val="24"/>
          <w:szCs w:val="24"/>
        </w:rPr>
        <w:t xml:space="preserve"> (</w:t>
      </w:r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esame della rifrazione, campo visivo, OCT, angiografia retinica, </w:t>
      </w:r>
      <w:proofErr w:type="spellStart"/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pachimetria</w:t>
      </w:r>
      <w:proofErr w:type="spellEnd"/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 corneale, biomicroscopia endoteliale, topo/tomografia corneale, esami </w:t>
      </w:r>
      <w:proofErr w:type="spellStart"/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elettrofunzionali</w:t>
      </w:r>
      <w:proofErr w:type="spellEnd"/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 visivi, biometria, test della percezione dei colori, sensibilità al contrasto, test visivi per rinnovo patente o per invalidità etc.)</w:t>
      </w:r>
      <w:r w:rsidR="00D530FB" w:rsidRPr="008E4AF9">
        <w:rPr>
          <w:color w:val="auto"/>
          <w:sz w:val="24"/>
          <w:szCs w:val="24"/>
        </w:rPr>
        <w:t xml:space="preserve">. </w:t>
      </w:r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 </w:t>
      </w:r>
    </w:p>
    <w:p w14:paraId="262F6B18" w14:textId="77777777" w:rsidR="00020B4D" w:rsidRPr="008E4AF9" w:rsidRDefault="00F2544A">
      <w:pPr>
        <w:jc w:val="both"/>
        <w:rPr>
          <w:color w:val="auto"/>
        </w:rPr>
      </w:pPr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È</w:t>
      </w:r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 il </w:t>
      </w:r>
      <w:r w:rsidR="00D530FB" w:rsidRPr="008E4AF9">
        <w:rPr>
          <w:rStyle w:val="FootnoteCharacters"/>
          <w:color w:val="auto"/>
          <w:sz w:val="24"/>
          <w:szCs w:val="24"/>
          <w:u w:val="single"/>
          <w:shd w:val="clear" w:color="auto" w:fill="FFFFFF"/>
          <w:vertAlign w:val="baseline"/>
        </w:rPr>
        <w:t>riabilitatore</w:t>
      </w:r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 del paziente ipovedente, dei bambini con DSA che presentano alterazione delle abilità visive, dei pazienti con </w:t>
      </w:r>
      <w:r w:rsidR="006F027D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disordini visivi in </w:t>
      </w:r>
      <w:r w:rsidR="00D530FB"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sindromi neurologiche. </w:t>
      </w:r>
    </w:p>
    <w:p w14:paraId="042C4ECA" w14:textId="77777777" w:rsidR="00020B4D" w:rsidRPr="008E4AF9" w:rsidRDefault="00D530FB">
      <w:pPr>
        <w:jc w:val="both"/>
        <w:rPr>
          <w:color w:val="auto"/>
        </w:rPr>
      </w:pPr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Analizza la qualità della visione nei luoghi di lavoro e tratta i disturbi </w:t>
      </w:r>
      <w:proofErr w:type="spellStart"/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astenopeici</w:t>
      </w:r>
      <w:proofErr w:type="spellEnd"/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. </w:t>
      </w:r>
    </w:p>
    <w:p w14:paraId="32D75168" w14:textId="77777777" w:rsidR="00020B4D" w:rsidRPr="008E4AF9" w:rsidRDefault="00D530FB">
      <w:pPr>
        <w:jc w:val="both"/>
        <w:rPr>
          <w:color w:val="auto"/>
        </w:rPr>
      </w:pPr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Assiste il chirurgo oftalmologo nelle sale operatorie di oculistica (strumentazione e ruolo di key operator). </w:t>
      </w:r>
    </w:p>
    <w:p w14:paraId="095ADB33" w14:textId="77777777" w:rsidR="00020B4D" w:rsidRPr="008E4AF9" w:rsidRDefault="00D530FB">
      <w:pPr>
        <w:jc w:val="both"/>
        <w:rPr>
          <w:color w:val="auto"/>
        </w:rPr>
      </w:pPr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 xml:space="preserve">Svolge attività di ricerca scientifica (raccolta di dati clinici e strumentali, data manager </w:t>
      </w:r>
      <w:proofErr w:type="spellStart"/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etc</w:t>
      </w:r>
      <w:proofErr w:type="spellEnd"/>
      <w:r w:rsidRPr="008E4AF9">
        <w:rPr>
          <w:rStyle w:val="FootnoteCharacters"/>
          <w:color w:val="auto"/>
          <w:sz w:val="24"/>
          <w:szCs w:val="24"/>
          <w:shd w:val="clear" w:color="auto" w:fill="FFFFFF"/>
          <w:vertAlign w:val="baseline"/>
        </w:rPr>
        <w:t>).</w:t>
      </w:r>
    </w:p>
    <w:p w14:paraId="7D97F3E3" w14:textId="0C35BFB6" w:rsidR="00020B4D" w:rsidRPr="008E4AF9" w:rsidRDefault="00D530FB">
      <w:pPr>
        <w:pStyle w:val="Titolo21"/>
        <w:jc w:val="both"/>
        <w:rPr>
          <w:color w:val="auto"/>
        </w:rPr>
      </w:pPr>
      <w:r w:rsidRPr="008E4AF9">
        <w:rPr>
          <w:rStyle w:val="FootnoteCharacters"/>
          <w:rFonts w:ascii="Times New Roman" w:eastAsia="Times New Roman" w:hAnsi="Times New Roman"/>
          <w:b w:val="0"/>
          <w:bCs w:val="0"/>
          <w:color w:val="auto"/>
          <w:sz w:val="24"/>
          <w:szCs w:val="24"/>
          <w:shd w:val="clear" w:color="auto" w:fill="FFFFFF"/>
          <w:vertAlign w:val="baseline"/>
        </w:rPr>
        <w:t>L’ortottista</w:t>
      </w:r>
      <w:r w:rsidR="00B24DF5">
        <w:rPr>
          <w:rStyle w:val="FootnoteCharacters"/>
          <w:rFonts w:ascii="Times New Roman" w:eastAsia="Times New Roman" w:hAnsi="Times New Roman"/>
          <w:b w:val="0"/>
          <w:bCs w:val="0"/>
          <w:color w:val="auto"/>
          <w:sz w:val="24"/>
          <w:szCs w:val="24"/>
          <w:shd w:val="clear" w:color="auto" w:fill="FFFFFF"/>
          <w:vertAlign w:val="baseline"/>
        </w:rPr>
        <w:t xml:space="preserve"> </w:t>
      </w:r>
      <w:r w:rsidRPr="008E4AF9">
        <w:rPr>
          <w:rStyle w:val="FootnoteCharacters"/>
          <w:rFonts w:ascii="Times New Roman" w:eastAsia="Times New Roman" w:hAnsi="Times New Roman"/>
          <w:b w:val="0"/>
          <w:bCs w:val="0"/>
          <w:color w:val="auto"/>
          <w:sz w:val="24"/>
          <w:szCs w:val="24"/>
          <w:shd w:val="clear" w:color="auto" w:fill="FFFFFF"/>
          <w:vertAlign w:val="baseline"/>
        </w:rPr>
        <w:t xml:space="preserve">assistente </w:t>
      </w:r>
      <w:r w:rsidR="00B7571A">
        <w:rPr>
          <w:rStyle w:val="FootnoteCharacters"/>
          <w:rFonts w:ascii="Times New Roman" w:eastAsia="Times New Roman" w:hAnsi="Times New Roman"/>
          <w:b w:val="0"/>
          <w:bCs w:val="0"/>
          <w:color w:val="auto"/>
          <w:sz w:val="24"/>
          <w:szCs w:val="24"/>
          <w:shd w:val="clear" w:color="auto" w:fill="FFFFFF"/>
          <w:vertAlign w:val="baseline"/>
        </w:rPr>
        <w:t>di</w:t>
      </w:r>
      <w:r w:rsidRPr="008E4AF9">
        <w:rPr>
          <w:rStyle w:val="FootnoteCharacters"/>
          <w:rFonts w:ascii="Times New Roman" w:eastAsia="Times New Roman" w:hAnsi="Times New Roman"/>
          <w:b w:val="0"/>
          <w:bCs w:val="0"/>
          <w:color w:val="auto"/>
          <w:sz w:val="24"/>
          <w:szCs w:val="24"/>
          <w:shd w:val="clear" w:color="auto" w:fill="FFFFFF"/>
          <w:vertAlign w:val="baseline"/>
        </w:rPr>
        <w:t xml:space="preserve"> oftalmologia opera in strutture sanitarie pubbliche del Sistema Sanitario Nazionale, private accreditate e convenzionate, studi individuali e associati in regime di dipendenza o libero-professionale, centri-strutture di riabilitazione, in istituti di ricovero e cura a carattere scientifico (IRCCS). Svolge consulenza in ambito di qualità di visione presso Aziende, Associazioni e Società sportive. </w:t>
      </w:r>
    </w:p>
    <w:p w14:paraId="49744CCA" w14:textId="77777777" w:rsidR="00020B4D" w:rsidRPr="008E4AF9" w:rsidRDefault="00D530FB">
      <w:pPr>
        <w:pStyle w:val="Corpotesto"/>
        <w:ind w:left="0"/>
        <w:rPr>
          <w:color w:val="auto"/>
        </w:rPr>
      </w:pPr>
      <w:r w:rsidRPr="008E4AF9">
        <w:rPr>
          <w:color w:val="auto"/>
          <w:spacing w:val="2"/>
          <w:shd w:val="clear" w:color="auto" w:fill="FFFFFF"/>
        </w:rPr>
        <w:t>Conduce la propria attività tutelando la Salute del Cittadino con titolarità e autonomia secondo il proprio codice deontologico e profilo professionale ed è responsabile degli atti di sua competenza di cui ne risponde secondo legge.</w:t>
      </w:r>
    </w:p>
    <w:p w14:paraId="0DB2CF02" w14:textId="6FD44D95" w:rsidR="00020B4D" w:rsidRPr="008E4AF9" w:rsidRDefault="00D530FB">
      <w:pPr>
        <w:pStyle w:val="NormaleWeb"/>
        <w:shd w:val="clear" w:color="auto" w:fill="FFFFFF"/>
        <w:jc w:val="both"/>
        <w:rPr>
          <w:color w:val="auto"/>
        </w:rPr>
      </w:pPr>
      <w:r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 xml:space="preserve">In questo giorno in cui si celebra la professione dell’Ortottista </w:t>
      </w:r>
      <w:r w:rsidR="00E719E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>a</w:t>
      </w:r>
      <w:r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 xml:space="preserve">ssistente di </w:t>
      </w:r>
      <w:r w:rsidR="00E719E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>o</w:t>
      </w:r>
      <w:r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>ftalmologia, è importante cogliere l’occasione per fare informazione verso il mondo istituzionale e politico</w:t>
      </w:r>
      <w:r w:rsidR="00F2544A"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>,</w:t>
      </w:r>
      <w:r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 xml:space="preserve"> e verso la cittadinanza. </w:t>
      </w:r>
    </w:p>
    <w:p w14:paraId="1FBC293D" w14:textId="77777777" w:rsidR="00020B4D" w:rsidRPr="008E4AF9" w:rsidRDefault="00D530FB">
      <w:pPr>
        <w:pStyle w:val="NormaleWeb"/>
        <w:shd w:val="clear" w:color="auto" w:fill="FFFFFF"/>
        <w:jc w:val="both"/>
        <w:rPr>
          <w:color w:val="auto"/>
        </w:rPr>
      </w:pPr>
      <w:r w:rsidRPr="008E4AF9">
        <w:rPr>
          <w:rStyle w:val="FootnoteCharacters"/>
          <w:rFonts w:eastAsia="Times New Roman"/>
          <w:color w:val="auto"/>
          <w:shd w:val="clear" w:color="auto" w:fill="FFFFFF"/>
          <w:vertAlign w:val="baseline"/>
        </w:rPr>
        <w:t>Grati per la Vostra attenzione, s</w:t>
      </w:r>
      <w:r w:rsidRPr="008E4AF9">
        <w:rPr>
          <w:rStyle w:val="FootnoteCharacters"/>
          <w:color w:val="auto"/>
          <w:vertAlign w:val="baseline"/>
        </w:rPr>
        <w:t>iamo a disposizione nell'interesse della salute visiva delle persone e</w:t>
      </w:r>
      <w:r w:rsidRPr="008E4AF9">
        <w:rPr>
          <w:rFonts w:eastAsia="Times New Roman"/>
          <w:color w:val="auto"/>
          <w:shd w:val="clear" w:color="auto" w:fill="FFFFFF"/>
        </w:rPr>
        <w:t xml:space="preserve"> porgiamo i nostri più cordiali saluti</w:t>
      </w:r>
    </w:p>
    <w:p w14:paraId="1086D4C4" w14:textId="77777777" w:rsidR="00020B4D" w:rsidRPr="008E4AF9" w:rsidRDefault="00020B4D">
      <w:pPr>
        <w:shd w:val="clear" w:color="auto" w:fill="FFFFFF"/>
        <w:jc w:val="both"/>
        <w:rPr>
          <w:color w:val="auto"/>
          <w:sz w:val="24"/>
          <w:szCs w:val="24"/>
          <w:lang w:eastAsia="it-IT"/>
        </w:rPr>
      </w:pPr>
    </w:p>
    <w:p w14:paraId="4B4C1139" w14:textId="77777777" w:rsidR="00B24DF5" w:rsidRDefault="00D530FB" w:rsidP="006F027D">
      <w:pPr>
        <w:ind w:left="4395"/>
        <w:jc w:val="center"/>
        <w:rPr>
          <w:b/>
          <w:color w:val="auto"/>
          <w:sz w:val="24"/>
          <w:szCs w:val="24"/>
          <w:lang w:eastAsia="it-IT"/>
        </w:rPr>
      </w:pPr>
      <w:r>
        <w:rPr>
          <w:b/>
          <w:color w:val="auto"/>
          <w:sz w:val="24"/>
          <w:szCs w:val="24"/>
          <w:lang w:eastAsia="it-IT"/>
        </w:rPr>
        <w:t xml:space="preserve">I Presidenti delle Commissioni d’Albo </w:t>
      </w:r>
    </w:p>
    <w:p w14:paraId="6DA46151" w14:textId="084C19A9" w:rsidR="00B24DF5" w:rsidRDefault="00D530FB" w:rsidP="006F027D">
      <w:pPr>
        <w:ind w:left="4395"/>
        <w:jc w:val="center"/>
        <w:rPr>
          <w:b/>
          <w:color w:val="auto"/>
          <w:sz w:val="24"/>
          <w:szCs w:val="24"/>
          <w:lang w:eastAsia="it-IT"/>
        </w:rPr>
      </w:pPr>
      <w:r>
        <w:rPr>
          <w:b/>
          <w:color w:val="auto"/>
          <w:sz w:val="24"/>
          <w:szCs w:val="24"/>
          <w:lang w:eastAsia="it-IT"/>
        </w:rPr>
        <w:t>Ortotti</w:t>
      </w:r>
      <w:r w:rsidR="00B24DF5">
        <w:rPr>
          <w:b/>
          <w:color w:val="auto"/>
          <w:sz w:val="24"/>
          <w:szCs w:val="24"/>
          <w:lang w:eastAsia="it-IT"/>
        </w:rPr>
        <w:t>sti a</w:t>
      </w:r>
      <w:r>
        <w:rPr>
          <w:b/>
          <w:color w:val="auto"/>
          <w:sz w:val="24"/>
          <w:szCs w:val="24"/>
          <w:lang w:eastAsia="it-IT"/>
        </w:rPr>
        <w:t>ssisten</w:t>
      </w:r>
      <w:r w:rsidR="00B24DF5">
        <w:rPr>
          <w:b/>
          <w:color w:val="auto"/>
          <w:sz w:val="24"/>
          <w:szCs w:val="24"/>
          <w:lang w:eastAsia="it-IT"/>
        </w:rPr>
        <w:t xml:space="preserve">ti di </w:t>
      </w:r>
      <w:r w:rsidR="00E719E9">
        <w:rPr>
          <w:b/>
          <w:color w:val="auto"/>
          <w:sz w:val="24"/>
          <w:szCs w:val="24"/>
          <w:lang w:eastAsia="it-IT"/>
        </w:rPr>
        <w:t>o</w:t>
      </w:r>
      <w:r>
        <w:rPr>
          <w:b/>
          <w:color w:val="auto"/>
          <w:sz w:val="24"/>
          <w:szCs w:val="24"/>
          <w:lang w:eastAsia="it-IT"/>
        </w:rPr>
        <w:t xml:space="preserve">ftalmologia </w:t>
      </w:r>
    </w:p>
    <w:p w14:paraId="1F9D213F" w14:textId="04989BF9" w:rsidR="00020B4D" w:rsidRDefault="006F027D" w:rsidP="006F027D">
      <w:pPr>
        <w:ind w:left="4395"/>
        <w:jc w:val="center"/>
        <w:rPr>
          <w:b/>
          <w:color w:val="auto"/>
          <w:sz w:val="24"/>
          <w:szCs w:val="24"/>
          <w:lang w:eastAsia="it-IT"/>
        </w:rPr>
      </w:pPr>
      <w:r>
        <w:rPr>
          <w:b/>
          <w:color w:val="auto"/>
          <w:sz w:val="24"/>
          <w:szCs w:val="24"/>
          <w:lang w:eastAsia="it-IT"/>
        </w:rPr>
        <w:t>della regione V</w:t>
      </w:r>
      <w:r w:rsidR="00D530FB">
        <w:rPr>
          <w:b/>
          <w:color w:val="auto"/>
          <w:sz w:val="24"/>
          <w:szCs w:val="24"/>
          <w:lang w:eastAsia="it-IT"/>
        </w:rPr>
        <w:t>eneto</w:t>
      </w:r>
    </w:p>
    <w:p w14:paraId="6A1130A5" w14:textId="77777777" w:rsidR="00972581" w:rsidRDefault="00972581" w:rsidP="006F027D">
      <w:pPr>
        <w:ind w:left="4395"/>
        <w:jc w:val="center"/>
        <w:rPr>
          <w:b/>
          <w:color w:val="auto"/>
          <w:sz w:val="24"/>
          <w:szCs w:val="24"/>
          <w:lang w:eastAsia="it-IT"/>
        </w:rPr>
      </w:pPr>
    </w:p>
    <w:p w14:paraId="30842413" w14:textId="1531FFAD" w:rsidR="006F027D" w:rsidRPr="000E2D0E" w:rsidRDefault="006F027D" w:rsidP="006F027D">
      <w:pPr>
        <w:ind w:left="3969"/>
        <w:jc w:val="center"/>
        <w:rPr>
          <w:b/>
          <w:i/>
          <w:iCs/>
          <w:color w:val="auto"/>
          <w:sz w:val="24"/>
          <w:szCs w:val="24"/>
          <w:lang w:eastAsia="it-IT"/>
        </w:rPr>
      </w:pPr>
      <w:r w:rsidRPr="000E2D0E">
        <w:rPr>
          <w:b/>
          <w:i/>
          <w:iCs/>
          <w:color w:val="auto"/>
          <w:sz w:val="24"/>
          <w:szCs w:val="24"/>
          <w:lang w:eastAsia="it-IT"/>
        </w:rPr>
        <w:t xml:space="preserve">Gloria </w:t>
      </w:r>
      <w:proofErr w:type="spellStart"/>
      <w:r w:rsidRPr="000E2D0E">
        <w:rPr>
          <w:b/>
          <w:i/>
          <w:iCs/>
          <w:color w:val="auto"/>
          <w:sz w:val="24"/>
          <w:szCs w:val="24"/>
          <w:lang w:eastAsia="it-IT"/>
        </w:rPr>
        <w:t>Badin</w:t>
      </w:r>
      <w:proofErr w:type="spellEnd"/>
      <w:r w:rsidRPr="000E2D0E">
        <w:rPr>
          <w:b/>
          <w:i/>
          <w:iCs/>
          <w:color w:val="auto"/>
          <w:sz w:val="24"/>
          <w:szCs w:val="24"/>
          <w:lang w:eastAsia="it-IT"/>
        </w:rPr>
        <w:t xml:space="preserve"> </w:t>
      </w:r>
      <w:r w:rsidR="000E2D0E">
        <w:rPr>
          <w:b/>
          <w:i/>
          <w:iCs/>
          <w:color w:val="auto"/>
          <w:sz w:val="24"/>
          <w:szCs w:val="24"/>
          <w:lang w:eastAsia="it-IT"/>
        </w:rPr>
        <w:t xml:space="preserve"> </w:t>
      </w:r>
      <w:r w:rsidRPr="000E2D0E">
        <w:rPr>
          <w:b/>
          <w:i/>
          <w:iCs/>
          <w:color w:val="auto"/>
          <w:sz w:val="24"/>
          <w:szCs w:val="24"/>
          <w:lang w:eastAsia="it-IT"/>
        </w:rPr>
        <w:t>Cda Ordine di Rovigo</w:t>
      </w:r>
    </w:p>
    <w:p w14:paraId="5868C996" w14:textId="2DA81F60" w:rsidR="006F027D" w:rsidRPr="000E2D0E" w:rsidRDefault="006F027D" w:rsidP="006F027D">
      <w:pPr>
        <w:ind w:left="3969"/>
        <w:jc w:val="center"/>
        <w:rPr>
          <w:b/>
          <w:i/>
          <w:iCs/>
          <w:color w:val="auto"/>
          <w:sz w:val="24"/>
          <w:szCs w:val="24"/>
          <w:lang w:eastAsia="it-IT"/>
        </w:rPr>
      </w:pPr>
      <w:proofErr w:type="spellStart"/>
      <w:r w:rsidRPr="000E2D0E">
        <w:rPr>
          <w:b/>
          <w:i/>
          <w:iCs/>
          <w:color w:val="auto"/>
          <w:sz w:val="24"/>
          <w:szCs w:val="24"/>
          <w:lang w:eastAsia="it-IT"/>
        </w:rPr>
        <w:t>Dilva</w:t>
      </w:r>
      <w:proofErr w:type="spellEnd"/>
      <w:r w:rsidRPr="000E2D0E">
        <w:rPr>
          <w:b/>
          <w:i/>
          <w:iCs/>
          <w:color w:val="auto"/>
          <w:sz w:val="24"/>
          <w:szCs w:val="24"/>
          <w:lang w:eastAsia="it-IT"/>
        </w:rPr>
        <w:t xml:space="preserve"> Drago Cda Ordine di Belluno-Treviso-Vicenza</w:t>
      </w:r>
    </w:p>
    <w:p w14:paraId="470A73C8" w14:textId="77777777" w:rsidR="006F027D" w:rsidRPr="000E2D0E" w:rsidRDefault="006F027D" w:rsidP="006F027D">
      <w:pPr>
        <w:ind w:left="3969"/>
        <w:jc w:val="center"/>
        <w:rPr>
          <w:b/>
          <w:i/>
          <w:iCs/>
          <w:color w:val="auto"/>
          <w:sz w:val="24"/>
          <w:szCs w:val="24"/>
          <w:lang w:eastAsia="it-IT"/>
        </w:rPr>
      </w:pPr>
      <w:r w:rsidRPr="000E2D0E">
        <w:rPr>
          <w:b/>
          <w:i/>
          <w:iCs/>
          <w:color w:val="auto"/>
          <w:sz w:val="24"/>
          <w:szCs w:val="24"/>
          <w:lang w:eastAsia="it-IT"/>
        </w:rPr>
        <w:t>Valentina Melina Cda Ordine di Venezia-Padova</w:t>
      </w:r>
    </w:p>
    <w:p w14:paraId="770895E5" w14:textId="7BBC673C" w:rsidR="006F027D" w:rsidRPr="000E2D0E" w:rsidRDefault="006F027D" w:rsidP="006F027D">
      <w:pPr>
        <w:ind w:left="3969"/>
        <w:jc w:val="center"/>
        <w:rPr>
          <w:i/>
          <w:iCs/>
          <w:color w:val="auto"/>
          <w:sz w:val="26"/>
          <w:szCs w:val="26"/>
        </w:rPr>
      </w:pPr>
      <w:r w:rsidRPr="000E2D0E">
        <w:rPr>
          <w:b/>
          <w:i/>
          <w:iCs/>
          <w:color w:val="auto"/>
          <w:sz w:val="24"/>
          <w:szCs w:val="24"/>
          <w:lang w:eastAsia="it-IT"/>
        </w:rPr>
        <w:t>Gloria Par</w:t>
      </w:r>
      <w:r w:rsidR="000E2D0E" w:rsidRPr="000E2D0E">
        <w:rPr>
          <w:b/>
          <w:i/>
          <w:iCs/>
          <w:color w:val="auto"/>
          <w:sz w:val="24"/>
          <w:szCs w:val="24"/>
          <w:lang w:eastAsia="it-IT"/>
        </w:rPr>
        <w:t>r</w:t>
      </w:r>
      <w:r w:rsidRPr="000E2D0E">
        <w:rPr>
          <w:b/>
          <w:i/>
          <w:iCs/>
          <w:color w:val="auto"/>
          <w:sz w:val="24"/>
          <w:szCs w:val="24"/>
          <w:lang w:eastAsia="it-IT"/>
        </w:rPr>
        <w:t>ozzani Cda Ordine di Verona</w:t>
      </w:r>
    </w:p>
    <w:p w14:paraId="1F6B7505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  <w:bookmarkStart w:id="1" w:name="_Hlk11229166"/>
      <w:bookmarkEnd w:id="1"/>
    </w:p>
    <w:p w14:paraId="7874F9FC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3AA72917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39E02A9A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67CF2837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1146B0C2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5FF7AFBB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3C1D8E0C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54DF3887" w14:textId="77777777" w:rsidR="00020B4D" w:rsidRDefault="00020B4D">
      <w:pPr>
        <w:shd w:val="clear" w:color="auto" w:fill="FFFFFF"/>
        <w:ind w:left="3912"/>
        <w:jc w:val="center"/>
        <w:rPr>
          <w:b/>
          <w:bCs/>
          <w:color w:val="auto"/>
          <w:sz w:val="24"/>
          <w:szCs w:val="24"/>
          <w:lang w:eastAsia="it-IT"/>
        </w:rPr>
      </w:pPr>
    </w:p>
    <w:p w14:paraId="1288688A" w14:textId="77777777" w:rsidR="00020B4D" w:rsidRDefault="00020B4D">
      <w:pPr>
        <w:shd w:val="clear" w:color="auto" w:fill="FFFFFF"/>
        <w:ind w:left="3912"/>
        <w:jc w:val="center"/>
        <w:rPr>
          <w:color w:val="auto"/>
        </w:rPr>
      </w:pPr>
    </w:p>
    <w:sectPr w:rsidR="00020B4D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0C4E" w14:textId="77777777" w:rsidR="00E077AE" w:rsidRDefault="00E077AE">
      <w:r>
        <w:separator/>
      </w:r>
    </w:p>
  </w:endnote>
  <w:endnote w:type="continuationSeparator" w:id="0">
    <w:p w14:paraId="4AE07D6E" w14:textId="77777777" w:rsidR="00E077AE" w:rsidRDefault="00E0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D80" w14:textId="77777777" w:rsidR="00020B4D" w:rsidRDefault="00D530FB">
    <w:pPr>
      <w:pStyle w:val="Pidipagina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AA78" w14:textId="77777777" w:rsidR="00E077AE" w:rsidRDefault="00E077AE">
      <w:r>
        <w:separator/>
      </w:r>
    </w:p>
  </w:footnote>
  <w:footnote w:type="continuationSeparator" w:id="0">
    <w:p w14:paraId="629789F8" w14:textId="77777777" w:rsidR="00E077AE" w:rsidRDefault="00E077AE">
      <w:r>
        <w:continuationSeparator/>
      </w:r>
    </w:p>
  </w:footnote>
  <w:footnote w:id="1">
    <w:p w14:paraId="34E0B6EB" w14:textId="77777777" w:rsidR="00020B4D" w:rsidRDefault="00D530FB">
      <w:pPr>
        <w:pStyle w:val="Testonotaapidipagina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Times New Roman" w:hAnsi="Times New Roman" w:cs="Times New Roman"/>
        </w:rPr>
        <w:t>https://aiorao.it/aiorao/index.php/profilo-professionale/</w:t>
      </w:r>
    </w:p>
  </w:footnote>
  <w:footnote w:id="2">
    <w:p w14:paraId="2BD63235" w14:textId="3B4A876D" w:rsidR="00020B4D" w:rsidRDefault="00D530FB">
      <w:pPr>
        <w:pStyle w:val="Testonotaapidipagina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Times New Roman" w:hAnsi="Times New Roman" w:cs="Times New Roman"/>
        </w:rPr>
        <w:t xml:space="preserve">DM Definizione delle figure </w:t>
      </w:r>
      <w:r w:rsidR="008345F2">
        <w:rPr>
          <w:rFonts w:ascii="Times New Roman" w:hAnsi="Times New Roman" w:cs="Times New Roman"/>
        </w:rPr>
        <w:t>professionali di</w:t>
      </w:r>
      <w:r>
        <w:rPr>
          <w:rFonts w:ascii="Times New Roman" w:hAnsi="Times New Roman" w:cs="Times New Roman"/>
        </w:rPr>
        <w:t xml:space="preserve"> cui all'art. 6, comma 3, del decreto legislativo 30 dicembre 1992,</w:t>
      </w:r>
      <w:r w:rsidR="0083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n. 502, e successive modificazioni, da includere nelle fattispecie previste dagli articoli 1, 2, 3 e 4, della legge 10 agosto 2000, n. 251 (art. 6, comma 1, legge n. 251/2000) </w:t>
      </w:r>
    </w:p>
  </w:footnote>
  <w:footnote w:id="3">
    <w:p w14:paraId="5350F71D" w14:textId="0549BDC4" w:rsidR="00020B4D" w:rsidRDefault="00D530FB">
      <w:pPr>
        <w:pStyle w:val="Testonotaapidipagina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Times New Roman" w:hAnsi="Times New Roman"/>
        </w:rPr>
        <w:tab/>
        <w:t xml:space="preserve"> n. 3/2018 “Delega al governo in materia di sperimentazione clinica di medicinali nonché disposizioni per il riordino delle professioni sanitarie e per la dirigenza sanitaria del Ministero della salute”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55EF" w14:textId="77777777" w:rsidR="00020B4D" w:rsidRDefault="00020B4D">
    <w:pPr>
      <w:pStyle w:val="Intestazione1"/>
      <w:ind w:left="5645" w:hanging="3660"/>
      <w:jc w:val="right"/>
      <w:rPr>
        <w:b/>
        <w:sz w:val="28"/>
        <w:szCs w:val="28"/>
      </w:rPr>
    </w:pPr>
  </w:p>
  <w:p w14:paraId="474E7F3A" w14:textId="77777777" w:rsidR="00020B4D" w:rsidRDefault="00020B4D">
    <w:pPr>
      <w:pStyle w:val="Intestazione1"/>
      <w:ind w:left="5645" w:hanging="3660"/>
      <w:jc w:val="right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D"/>
    <w:rsid w:val="00020B4D"/>
    <w:rsid w:val="000E2D0E"/>
    <w:rsid w:val="004F3736"/>
    <w:rsid w:val="005959BD"/>
    <w:rsid w:val="006F027D"/>
    <w:rsid w:val="008345F2"/>
    <w:rsid w:val="008E4AF9"/>
    <w:rsid w:val="00972581"/>
    <w:rsid w:val="00AD123D"/>
    <w:rsid w:val="00B00BAC"/>
    <w:rsid w:val="00B24DF5"/>
    <w:rsid w:val="00B7571A"/>
    <w:rsid w:val="00D530FB"/>
    <w:rsid w:val="00E077AE"/>
    <w:rsid w:val="00E719E9"/>
    <w:rsid w:val="00F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13A8B"/>
  <w15:docId w15:val="{773CFFEE-5710-4353-8186-82292F1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Titolo31">
    <w:name w:val="Titolo 31"/>
    <w:basedOn w:val="Titol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Titolo41">
    <w:name w:val="Titolo 41"/>
    <w:basedOn w:val="Normale"/>
    <w:uiPriority w:val="9"/>
    <w:qFormat/>
    <w:pPr>
      <w:suppressAutoHyphens w:val="0"/>
      <w:spacing w:beforeAutospacing="1" w:afterAutospacing="1"/>
      <w:outlineLvl w:val="3"/>
    </w:pPr>
    <w:rPr>
      <w:b/>
      <w:b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lrzxr">
    <w:name w:val="lrzxr"/>
    <w:basedOn w:val="Carpredefinitoparagrafo"/>
    <w:qFormat/>
  </w:style>
  <w:style w:type="character" w:customStyle="1" w:styleId="bumpedfont15">
    <w:name w:val="bumpedfont15"/>
    <w:basedOn w:val="Carpredefinitoparagrafo"/>
    <w:qFormat/>
  </w:style>
  <w:style w:type="character" w:customStyle="1" w:styleId="s13">
    <w:name w:val="s13"/>
    <w:basedOn w:val="Carpredefinitoparagrafo"/>
    <w:qFormat/>
  </w:style>
  <w:style w:type="character" w:styleId="Collegamentovisitato">
    <w:name w:val="FollowedHyperlink"/>
    <w:basedOn w:val="Carpredefinitoparagrafo"/>
    <w:uiPriority w:val="99"/>
    <w:qFormat/>
    <w:rPr>
      <w:color w:val="954F72"/>
      <w:u w:val="single"/>
    </w:rPr>
  </w:style>
  <w:style w:type="character" w:customStyle="1" w:styleId="TestonormaleCarattere">
    <w:name w:val="Testo normale Carattere"/>
    <w:basedOn w:val="Carpredefinitoparagrafo"/>
    <w:uiPriority w:val="99"/>
    <w:qFormat/>
    <w:rPr>
      <w:rFonts w:ascii="Calibri" w:hAnsi="Calibri"/>
      <w:szCs w:val="21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s1">
    <w:name w:val="s1"/>
    <w:basedOn w:val="Carpredefinitoparagrafo"/>
    <w:qFormat/>
  </w:style>
  <w:style w:type="character" w:customStyle="1" w:styleId="s2">
    <w:name w:val="s2"/>
    <w:basedOn w:val="Carpredefinitoparagrafo"/>
    <w:qFormat/>
  </w:style>
  <w:style w:type="character" w:customStyle="1" w:styleId="s3">
    <w:name w:val="s3"/>
    <w:basedOn w:val="Carpredefinitoparagrafo"/>
    <w:qFormat/>
  </w:style>
  <w:style w:type="character" w:customStyle="1" w:styleId="Menzionenonrisolta1">
    <w:name w:val="Menzione non risolta1"/>
    <w:basedOn w:val="Carpredefinitoparagrafo"/>
    <w:uiPriority w:val="99"/>
    <w:qFormat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uiPriority w:val="1"/>
    <w:qFormat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2">
    <w:name w:val="Menzione non risolta2"/>
    <w:basedOn w:val="Carpredefinitoparagrafo"/>
    <w:uiPriority w:val="99"/>
    <w:qFormat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uiPriority w:val="99"/>
    <w:qFormat/>
    <w:rPr>
      <w:rFonts w:ascii="Segoe UI" w:hAnsi="Segoe UI" w:cs="Segoe UI"/>
      <w:sz w:val="18"/>
      <w:szCs w:val="18"/>
    </w:rPr>
  </w:style>
  <w:style w:type="character" w:customStyle="1" w:styleId="PreformattatoHTMLCarattere">
    <w:name w:val="Preformattato HTML Carattere"/>
    <w:basedOn w:val="Carpredefinitoparagrafo"/>
    <w:uiPriority w:val="99"/>
    <w:qFormat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qFormat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qFormat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v-subject">
    <w:name w:val="inv-subject"/>
    <w:basedOn w:val="Carpredefinitoparagrafo"/>
    <w:qFormat/>
  </w:style>
  <w:style w:type="character" w:customStyle="1" w:styleId="inv-date">
    <w:name w:val="inv-date"/>
    <w:basedOn w:val="Carpredefinitoparagrafo"/>
    <w:qFormat/>
  </w:style>
  <w:style w:type="character" w:customStyle="1" w:styleId="inv-meeting-url">
    <w:name w:val="inv-meeting-url"/>
    <w:basedOn w:val="Carpredefinitoparagrafo"/>
    <w:qFormat/>
  </w:style>
  <w:style w:type="character" w:customStyle="1" w:styleId="Menzionenonrisolta4">
    <w:name w:val="Menzione non risolta4"/>
    <w:basedOn w:val="Carpredefinitoparagrafo"/>
    <w:uiPriority w:val="99"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i/>
    </w:rPr>
  </w:style>
  <w:style w:type="character" w:customStyle="1" w:styleId="ListLabel55">
    <w:name w:val="ListLabel 55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56">
    <w:name w:val="ListLabel 56"/>
    <w:qFormat/>
    <w:rPr>
      <w:rFonts w:ascii="Times New Roman" w:hAnsi="Times New Roman"/>
      <w:sz w:val="16"/>
      <w:szCs w:val="16"/>
      <w:lang w:eastAsia="ar-SA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57">
    <w:name w:val="ListLabel 57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58">
    <w:name w:val="ListLabel 58"/>
    <w:qFormat/>
    <w:rPr>
      <w:rFonts w:ascii="Times New Roman" w:hAnsi="Times New Roman"/>
      <w:sz w:val="16"/>
      <w:szCs w:val="16"/>
      <w:lang w:eastAsia="ar-SA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59">
    <w:name w:val="ListLabel 59"/>
    <w:qFormat/>
    <w:rPr>
      <w:rFonts w:ascii="Times New Roman" w:hAnsi="Times New Roman" w:cs="Times New Roman"/>
      <w:bCs/>
      <w:color w:val="9F0038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61">
    <w:name w:val="ListLabel 61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62">
    <w:name w:val="ListLabel 62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63">
    <w:name w:val="ListLabel 63"/>
    <w:qFormat/>
    <w:rPr>
      <w:rFonts w:ascii="Times New Roman" w:hAnsi="Times New Roman"/>
      <w:sz w:val="16"/>
      <w:szCs w:val="16"/>
      <w:lang w:eastAsia="ar-SA"/>
    </w:rPr>
  </w:style>
  <w:style w:type="character" w:customStyle="1" w:styleId="ListLabel64">
    <w:name w:val="ListLabel 64"/>
    <w:qFormat/>
    <w:rPr>
      <w:rFonts w:ascii="Times New Roman" w:hAnsi="Times New Roman"/>
      <w:sz w:val="16"/>
      <w:szCs w:val="16"/>
      <w:lang w:eastAsia="ar-S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widowControl w:val="0"/>
      <w:suppressAutoHyphens w:val="0"/>
      <w:ind w:left="210"/>
    </w:pPr>
    <w:rPr>
      <w:sz w:val="24"/>
      <w:szCs w:val="24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uiPriority w:val="99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SimSun"/>
      <w:sz w:val="22"/>
      <w:szCs w:val="22"/>
      <w:lang w:eastAsia="en-US"/>
    </w:rPr>
  </w:style>
  <w:style w:type="paragraph" w:customStyle="1" w:styleId="Pidipagina1">
    <w:name w:val="Piè di pagina1"/>
    <w:basedOn w:val="Normale"/>
    <w:uiPriority w:val="99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SimSun"/>
      <w:sz w:val="22"/>
      <w:szCs w:val="22"/>
      <w:lang w:eastAsia="en-US"/>
    </w:rPr>
  </w:style>
  <w:style w:type="paragraph" w:styleId="Nessunaspaziatura">
    <w:name w:val="No Spacing"/>
    <w:uiPriority w:val="1"/>
    <w:qFormat/>
    <w:rPr>
      <w:rFonts w:cs="Times New Roman"/>
    </w:rPr>
  </w:style>
  <w:style w:type="paragraph" w:styleId="NormaleWeb">
    <w:name w:val="Normal (Web)"/>
    <w:basedOn w:val="Normale"/>
    <w:uiPriority w:val="99"/>
    <w:qFormat/>
    <w:pPr>
      <w:suppressAutoHyphens w:val="0"/>
      <w:spacing w:beforeAutospacing="1" w:afterAutospacing="1"/>
    </w:pPr>
    <w:rPr>
      <w:rFonts w:eastAsia="Calibri"/>
      <w:sz w:val="24"/>
      <w:szCs w:val="24"/>
      <w:lang w:eastAsia="it-IT"/>
    </w:rPr>
  </w:style>
  <w:style w:type="paragraph" w:customStyle="1" w:styleId="Testodelblocco2">
    <w:name w:val="Testo del blocco2"/>
    <w:qFormat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2"/>
      <w:szCs w:val="20"/>
      <w:lang w:eastAsia="ar-SA"/>
    </w:rPr>
  </w:style>
  <w:style w:type="paragraph" w:customStyle="1" w:styleId="s12">
    <w:name w:val="s12"/>
    <w:basedOn w:val="Normale"/>
    <w:qFormat/>
    <w:pPr>
      <w:suppressAutoHyphens w:val="0"/>
      <w:spacing w:beforeAutospacing="1" w:afterAutospacing="1"/>
    </w:pPr>
    <w:rPr>
      <w:rFonts w:eastAsia="Calibri"/>
      <w:sz w:val="24"/>
      <w:szCs w:val="24"/>
      <w:lang w:eastAsia="it-IT"/>
    </w:rPr>
  </w:style>
  <w:style w:type="paragraph" w:styleId="Testonormale">
    <w:name w:val="Plain Text"/>
    <w:basedOn w:val="Normale"/>
    <w:uiPriority w:val="99"/>
    <w:qFormat/>
    <w:pPr>
      <w:suppressAutoHyphens w:val="0"/>
    </w:pPr>
    <w:rPr>
      <w:rFonts w:ascii="Calibri" w:eastAsia="Calibri" w:hAnsi="Calibri" w:cs="SimSun"/>
      <w:sz w:val="22"/>
      <w:szCs w:val="21"/>
      <w:lang w:eastAsia="en-US"/>
    </w:rPr>
  </w:style>
  <w:style w:type="paragraph" w:customStyle="1" w:styleId="p1">
    <w:name w:val="p1"/>
    <w:basedOn w:val="Normale"/>
    <w:qFormat/>
    <w:pPr>
      <w:suppressAutoHyphens w:val="0"/>
      <w:spacing w:beforeAutospacing="1" w:afterAutospacing="1"/>
    </w:pPr>
    <w:rPr>
      <w:sz w:val="24"/>
      <w:szCs w:val="24"/>
      <w:lang w:eastAsia="it-IT"/>
    </w:rPr>
  </w:style>
  <w:style w:type="paragraph" w:customStyle="1" w:styleId="p2">
    <w:name w:val="p2"/>
    <w:basedOn w:val="Normale"/>
    <w:qFormat/>
    <w:pPr>
      <w:suppressAutoHyphens w:val="0"/>
      <w:spacing w:beforeAutospacing="1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Testofumetto">
    <w:name w:val="Balloon Text"/>
    <w:basedOn w:val="Normale"/>
    <w:uiPriority w:val="99"/>
    <w:qFormat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paragraph" w:styleId="Testonotaapidipagina">
    <w:name w:val="footnote text"/>
    <w:basedOn w:val="Normale"/>
    <w:uiPriority w:val="99"/>
    <w:qFormat/>
    <w:pPr>
      <w:suppressAutoHyphens w:val="0"/>
    </w:pPr>
    <w:rPr>
      <w:rFonts w:ascii="Calibri" w:eastAsia="Calibri" w:hAnsi="Calibri" w:cs="SimSun"/>
      <w:lang w:eastAsia="en-US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qFormat/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Testonotaapidipagina1">
    <w:name w:val="Testo nota a piè di pagina1"/>
    <w:basedOn w:val="Normale"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1">
    <w:name w:val="Table Subtle 1"/>
    <w:basedOn w:val="Tabellanormale"/>
    <w:uiPriority w:val="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D7DE-E0DA-B64F-9290-F4B4BA97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Carlo Senesi</cp:lastModifiedBy>
  <cp:revision>3</cp:revision>
  <cp:lastPrinted>2020-07-10T16:00:00Z</cp:lastPrinted>
  <dcterms:created xsi:type="dcterms:W3CDTF">2022-06-03T08:13:00Z</dcterms:created>
  <dcterms:modified xsi:type="dcterms:W3CDTF">2022-06-03T08:31:00Z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